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Pr="00166CF1" w:rsidRDefault="00446364">
      <w:pPr>
        <w:rPr>
          <w:rFonts w:ascii="Arial" w:hAnsi="Arial" w:cs="Arial"/>
        </w:rPr>
      </w:pPr>
    </w:p>
    <w:p w:rsidR="00166CF1" w:rsidRPr="00166CF1" w:rsidRDefault="00166CF1">
      <w:pPr>
        <w:rPr>
          <w:rFonts w:ascii="Arial" w:hAnsi="Arial" w:cs="Arial"/>
        </w:rPr>
      </w:pPr>
      <w:r w:rsidRPr="00166CF1">
        <w:rPr>
          <w:rFonts w:ascii="Arial" w:hAnsi="Arial" w:cs="Arial"/>
        </w:rPr>
        <w:t>Wykaz załączników – zjazd 2.</w:t>
      </w:r>
    </w:p>
    <w:p w:rsidR="00166CF1" w:rsidRPr="00166CF1" w:rsidRDefault="00166CF1" w:rsidP="007A7F7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66CF1">
        <w:rPr>
          <w:rFonts w:ascii="Arial" w:hAnsi="Arial" w:cs="Arial"/>
        </w:rPr>
        <w:t>1.1. – podstawa programowa str. 32-59</w:t>
      </w:r>
      <w:r w:rsidR="00714BB7">
        <w:rPr>
          <w:rFonts w:ascii="Arial" w:hAnsi="Arial" w:cs="Arial"/>
        </w:rPr>
        <w:t xml:space="preserve"> – edukacja wczesnoszkolna</w:t>
      </w:r>
    </w:p>
    <w:p w:rsidR="00166CF1" w:rsidRDefault="00166CF1" w:rsidP="007A7F7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66CF1">
        <w:rPr>
          <w:rFonts w:ascii="Arial" w:hAnsi="Arial" w:cs="Arial"/>
        </w:rPr>
        <w:t>2.1</w:t>
      </w:r>
      <w:r>
        <w:rPr>
          <w:rFonts w:ascii="Arial" w:hAnsi="Arial" w:cs="Arial"/>
        </w:rPr>
        <w:t>.A</w:t>
      </w:r>
      <w:r w:rsidRPr="00166C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proofErr w:type="spellStart"/>
      <w:r>
        <w:rPr>
          <w:rFonts w:ascii="Arial" w:hAnsi="Arial" w:cs="Arial"/>
        </w:rPr>
        <w:t>Hatti</w:t>
      </w:r>
      <w:proofErr w:type="spellEnd"/>
      <w:r>
        <w:rPr>
          <w:rFonts w:ascii="Arial" w:hAnsi="Arial" w:cs="Arial"/>
        </w:rPr>
        <w:t xml:space="preserve"> – czynniki, do pocięcia – dla każdego uczestnika</w:t>
      </w:r>
    </w:p>
    <w:p w:rsidR="00166CF1" w:rsidRDefault="00166CF1" w:rsidP="007A7F7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2.1. – materiały do modułu I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II – dla każdego uczestnika</w:t>
      </w:r>
    </w:p>
    <w:p w:rsidR="00166CF1" w:rsidRDefault="00166CF1" w:rsidP="007A7F7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2.2. – instrukcja kryterialny poker, dla trenera, do przekazania w formie cyfrowej (prezentacja Power point)</w:t>
      </w:r>
    </w:p>
    <w:p w:rsidR="00166CF1" w:rsidRDefault="00166CF1" w:rsidP="007A7F7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2.3. – nauczanie problemowe… - dla każdego uczestnika</w:t>
      </w:r>
    </w:p>
    <w:p w:rsidR="00166CF1" w:rsidRDefault="00166CF1" w:rsidP="007A7F7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2.4 – karta planowania doświadczalnego – dla każdego uczestnika</w:t>
      </w:r>
    </w:p>
    <w:p w:rsidR="00166CF1" w:rsidRDefault="00166CF1" w:rsidP="007A7F7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2.5. – uczenie się przez zabawę – dla każdego uczestnika</w:t>
      </w:r>
    </w:p>
    <w:p w:rsidR="00166CF1" w:rsidRDefault="00166CF1" w:rsidP="007A7F7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2.6. – przykładowy harmonogram wspomagania – dla każdego uczestnika</w:t>
      </w:r>
    </w:p>
    <w:p w:rsidR="00166CF1" w:rsidRDefault="00166CF1" w:rsidP="007A7F7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2.7. – 5 strategii OK. – dla każdego uczestnika</w:t>
      </w:r>
    </w:p>
    <w:p w:rsidR="00166CF1" w:rsidRDefault="00166CF1" w:rsidP="007A7F7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2.8. – action learning – dla każdego uczestnika</w:t>
      </w:r>
    </w:p>
    <w:p w:rsidR="00166CF1" w:rsidRPr="00166CF1" w:rsidRDefault="00166CF1" w:rsidP="007A7F7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2.9. – czym jest projekt edukacyjny</w:t>
      </w:r>
    </w:p>
    <w:sectPr w:rsidR="00166CF1" w:rsidRPr="00166CF1" w:rsidSect="00446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A2D"/>
    <w:multiLevelType w:val="hybridMultilevel"/>
    <w:tmpl w:val="BE1E2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166CF1"/>
    <w:rsid w:val="00166CF1"/>
    <w:rsid w:val="00446364"/>
    <w:rsid w:val="00714BB7"/>
    <w:rsid w:val="007A7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6C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600</Characters>
  <Application>Microsoft Office Word</Application>
  <DocSecurity>0</DocSecurity>
  <Lines>5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dcterms:created xsi:type="dcterms:W3CDTF">2019-02-12T10:47:00Z</dcterms:created>
  <dcterms:modified xsi:type="dcterms:W3CDTF">2019-02-12T10:53:00Z</dcterms:modified>
</cp:coreProperties>
</file>